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4A" w:rsidRDefault="0071784A" w:rsidP="0071784A">
      <w:pPr>
        <w:numPr>
          <w:ilvl w:val="0"/>
          <w:numId w:val="2"/>
        </w:numPr>
        <w:tabs>
          <w:tab w:val="clear" w:pos="720"/>
          <w:tab w:val="num" w:pos="360"/>
        </w:tabs>
        <w:spacing w:before="240"/>
        <w:ind w:left="360"/>
        <w:jc w:val="both"/>
        <w:rPr>
          <w:rFonts w:ascii="Arial" w:hAnsi="Arial" w:cs="Arial"/>
          <w:kern w:val="20"/>
          <w:sz w:val="22"/>
          <w:szCs w:val="22"/>
        </w:rPr>
      </w:pPr>
      <w:bookmarkStart w:id="0" w:name="_GoBack"/>
      <w:bookmarkEnd w:id="0"/>
      <w:r>
        <w:rPr>
          <w:rFonts w:ascii="Arial" w:hAnsi="Arial" w:cs="Arial"/>
          <w:kern w:val="20"/>
          <w:sz w:val="22"/>
          <w:szCs w:val="22"/>
        </w:rPr>
        <w:t xml:space="preserve">A review of </w:t>
      </w:r>
      <w:smartTag w:uri="urn:schemas-microsoft-com:office:smarttags" w:element="State">
        <w:smartTag w:uri="urn:schemas-microsoft-com:office:smarttags" w:element="place">
          <w:r>
            <w:rPr>
              <w:rFonts w:ascii="Arial" w:hAnsi="Arial" w:cs="Arial"/>
              <w:kern w:val="20"/>
              <w:sz w:val="22"/>
              <w:szCs w:val="22"/>
            </w:rPr>
            <w:t>Queensland</w:t>
          </w:r>
        </w:smartTag>
      </w:smartTag>
      <w:r>
        <w:rPr>
          <w:rFonts w:ascii="Arial" w:hAnsi="Arial" w:cs="Arial"/>
          <w:kern w:val="20"/>
          <w:sz w:val="22"/>
          <w:szCs w:val="22"/>
        </w:rPr>
        <w:t>’s Compulsory Third Party (CTP) scheme earlier this year indicated room for improvement, including reducing</w:t>
      </w:r>
      <w:r w:rsidR="00D1775E" w:rsidRPr="0071784A">
        <w:rPr>
          <w:rFonts w:ascii="Arial" w:hAnsi="Arial" w:cs="Arial"/>
          <w:kern w:val="20"/>
          <w:sz w:val="22"/>
          <w:szCs w:val="22"/>
        </w:rPr>
        <w:t xml:space="preserve"> delivery and acquisition costs and promoting greater price competition.  </w:t>
      </w:r>
    </w:p>
    <w:p w:rsidR="0071784A" w:rsidRPr="0071784A" w:rsidRDefault="0071784A" w:rsidP="0071784A">
      <w:pPr>
        <w:numPr>
          <w:ilvl w:val="0"/>
          <w:numId w:val="2"/>
        </w:numPr>
        <w:tabs>
          <w:tab w:val="clear" w:pos="720"/>
          <w:tab w:val="num" w:pos="360"/>
        </w:tabs>
        <w:spacing w:before="240"/>
        <w:ind w:left="360"/>
        <w:jc w:val="both"/>
        <w:rPr>
          <w:rFonts w:ascii="Arial" w:hAnsi="Arial" w:cs="Arial"/>
          <w:sz w:val="22"/>
          <w:szCs w:val="22"/>
        </w:rPr>
      </w:pPr>
      <w:r w:rsidRPr="0071784A">
        <w:rPr>
          <w:rFonts w:ascii="Arial" w:hAnsi="Arial" w:cs="Arial"/>
          <w:sz w:val="22"/>
          <w:szCs w:val="22"/>
        </w:rPr>
        <w:t>One of the key drivers to these rising costs is the payment of commissions and inducements by the insurers to intermediaries to acquire CTP business</w:t>
      </w:r>
      <w:r>
        <w:rPr>
          <w:rFonts w:ascii="Arial" w:hAnsi="Arial" w:cs="Arial"/>
          <w:sz w:val="22"/>
          <w:szCs w:val="22"/>
        </w:rPr>
        <w:t>,</w:t>
      </w:r>
      <w:r w:rsidRPr="0071784A">
        <w:rPr>
          <w:rFonts w:ascii="Arial" w:hAnsi="Arial" w:cs="Arial"/>
          <w:sz w:val="22"/>
          <w:szCs w:val="22"/>
        </w:rPr>
        <w:t xml:space="preserve"> particularly the new vehicle market.  </w:t>
      </w:r>
      <w:r w:rsidR="00DA0537">
        <w:rPr>
          <w:rFonts w:ascii="Arial" w:hAnsi="Arial" w:cs="Arial"/>
          <w:sz w:val="22"/>
          <w:szCs w:val="22"/>
        </w:rPr>
        <w:t>These</w:t>
      </w:r>
      <w:r w:rsidRPr="0071784A">
        <w:rPr>
          <w:rFonts w:ascii="Arial" w:hAnsi="Arial" w:cs="Arial"/>
          <w:sz w:val="22"/>
          <w:szCs w:val="22"/>
        </w:rPr>
        <w:t xml:space="preserve"> payments </w:t>
      </w:r>
      <w:r w:rsidR="00DA0537">
        <w:rPr>
          <w:rFonts w:ascii="Arial" w:hAnsi="Arial" w:cs="Arial"/>
          <w:sz w:val="22"/>
          <w:szCs w:val="22"/>
        </w:rPr>
        <w:t xml:space="preserve">are not only </w:t>
      </w:r>
      <w:r w:rsidRPr="0071784A">
        <w:rPr>
          <w:rFonts w:ascii="Arial" w:hAnsi="Arial" w:cs="Arial"/>
          <w:sz w:val="22"/>
          <w:szCs w:val="22"/>
        </w:rPr>
        <w:t xml:space="preserve">made at the point of sale of a new vehicle, but trailing commissions have become a feature with payments continuing to be made while the policy remains with the existing insurer.  These tied arrangements hinder competition by providing a barrier to new entrants or insurers wanting to increase market share as well as limiting consumers’ choice of nominating an insurer when purchasing a vehicle.  </w:t>
      </w:r>
    </w:p>
    <w:p w:rsidR="00D1775E" w:rsidRDefault="00D1775E" w:rsidP="0071784A">
      <w:pPr>
        <w:numPr>
          <w:ilvl w:val="0"/>
          <w:numId w:val="2"/>
        </w:numPr>
        <w:tabs>
          <w:tab w:val="clear" w:pos="720"/>
          <w:tab w:val="num" w:pos="360"/>
        </w:tabs>
        <w:spacing w:before="240"/>
        <w:ind w:left="360"/>
        <w:jc w:val="both"/>
        <w:rPr>
          <w:rFonts w:ascii="Arial" w:hAnsi="Arial" w:cs="Arial"/>
          <w:kern w:val="20"/>
          <w:sz w:val="22"/>
          <w:szCs w:val="22"/>
        </w:rPr>
      </w:pPr>
      <w:r w:rsidRPr="0071784A">
        <w:rPr>
          <w:rFonts w:ascii="Arial" w:hAnsi="Arial" w:cs="Arial"/>
          <w:kern w:val="20"/>
          <w:sz w:val="22"/>
          <w:szCs w:val="22"/>
        </w:rPr>
        <w:t xml:space="preserve">The </w:t>
      </w:r>
      <w:r w:rsidR="00A81603">
        <w:rPr>
          <w:rFonts w:ascii="Arial" w:hAnsi="Arial" w:cs="Arial"/>
          <w:kern w:val="20"/>
          <w:sz w:val="22"/>
          <w:szCs w:val="22"/>
        </w:rPr>
        <w:t xml:space="preserve">Motor Accident Insurance and Other Legislation Amendment Bill 2010 </w:t>
      </w:r>
      <w:r w:rsidRPr="0071784A">
        <w:rPr>
          <w:rFonts w:ascii="Arial" w:hAnsi="Arial" w:cs="Arial"/>
          <w:kern w:val="20"/>
          <w:sz w:val="22"/>
          <w:szCs w:val="22"/>
        </w:rPr>
        <w:t xml:space="preserve">removes the payment of these types of commissions and other incentives to intermediaries while still allowing policyholder inducements.  The Bill also allows an insurer, at the request of the policyholder, to assign an inducement made to the policyholder as a financial donation to a charity registered in </w:t>
      </w:r>
      <w:smartTag w:uri="urn:schemas-microsoft-com:office:smarttags" w:element="State">
        <w:smartTag w:uri="urn:schemas-microsoft-com:office:smarttags" w:element="place">
          <w:r w:rsidRPr="0071784A">
            <w:rPr>
              <w:rFonts w:ascii="Arial" w:hAnsi="Arial" w:cs="Arial"/>
              <w:kern w:val="20"/>
              <w:sz w:val="22"/>
              <w:szCs w:val="22"/>
            </w:rPr>
            <w:t>Queensland</w:t>
          </w:r>
        </w:smartTag>
      </w:smartTag>
      <w:r w:rsidRPr="0071784A">
        <w:rPr>
          <w:rFonts w:ascii="Arial" w:hAnsi="Arial" w:cs="Arial"/>
          <w:kern w:val="20"/>
          <w:sz w:val="22"/>
          <w:szCs w:val="22"/>
        </w:rPr>
        <w:t>, but prohibits any type of trailing payment.  A similar arrangement is permitted with respect to a financial donation to a road safety research entity affiliated with a university.</w:t>
      </w:r>
    </w:p>
    <w:p w:rsidR="0071784A" w:rsidRDefault="0071784A" w:rsidP="00DA0537">
      <w:pPr>
        <w:numPr>
          <w:ilvl w:val="0"/>
          <w:numId w:val="2"/>
        </w:numPr>
        <w:tabs>
          <w:tab w:val="clear" w:pos="720"/>
          <w:tab w:val="num" w:pos="360"/>
        </w:tabs>
        <w:spacing w:before="240"/>
        <w:ind w:left="360"/>
        <w:jc w:val="both"/>
        <w:rPr>
          <w:rFonts w:ascii="Arial" w:hAnsi="Arial" w:cs="Arial"/>
          <w:sz w:val="22"/>
          <w:szCs w:val="22"/>
        </w:rPr>
      </w:pPr>
      <w:r w:rsidRPr="00DA0537">
        <w:rPr>
          <w:rFonts w:ascii="Arial" w:hAnsi="Arial" w:cs="Arial"/>
          <w:sz w:val="22"/>
          <w:szCs w:val="22"/>
        </w:rPr>
        <w:t xml:space="preserve">The Bill </w:t>
      </w:r>
      <w:r w:rsidR="00B70BAC">
        <w:rPr>
          <w:rFonts w:ascii="Arial" w:hAnsi="Arial" w:cs="Arial"/>
          <w:sz w:val="22"/>
          <w:szCs w:val="22"/>
        </w:rPr>
        <w:t>also</w:t>
      </w:r>
      <w:r w:rsidR="00DA0537" w:rsidRPr="00DA0537">
        <w:rPr>
          <w:rFonts w:ascii="Arial" w:hAnsi="Arial" w:cs="Arial"/>
          <w:sz w:val="22"/>
          <w:szCs w:val="22"/>
        </w:rPr>
        <w:t xml:space="preserve"> include</w:t>
      </w:r>
      <w:r w:rsidR="00B70BAC">
        <w:rPr>
          <w:rFonts w:ascii="Arial" w:hAnsi="Arial" w:cs="Arial"/>
          <w:sz w:val="22"/>
          <w:szCs w:val="22"/>
        </w:rPr>
        <w:t>s</w:t>
      </w:r>
      <w:r w:rsidRPr="00DA0537">
        <w:rPr>
          <w:rFonts w:ascii="Arial" w:hAnsi="Arial" w:cs="Arial"/>
          <w:sz w:val="22"/>
          <w:szCs w:val="22"/>
        </w:rPr>
        <w:t xml:space="preserve"> a number of technical amendments including changes to the process of allocating policies in the event of a CTP insurer withdrawing from the scheme or becoming insolvent as well as aligning the </w:t>
      </w:r>
      <w:r w:rsidRPr="00DA0537">
        <w:rPr>
          <w:rFonts w:ascii="Arial" w:hAnsi="Arial" w:cs="Arial"/>
          <w:i/>
          <w:sz w:val="22"/>
          <w:szCs w:val="22"/>
        </w:rPr>
        <w:t xml:space="preserve">Motor Accident Insurance Act 1994 </w:t>
      </w:r>
      <w:r w:rsidRPr="00DA0537">
        <w:rPr>
          <w:rFonts w:ascii="Arial" w:hAnsi="Arial" w:cs="Arial"/>
          <w:sz w:val="22"/>
          <w:szCs w:val="22"/>
        </w:rPr>
        <w:t xml:space="preserve">with </w:t>
      </w:r>
      <w:smartTag w:uri="urn:schemas-microsoft-com:office:smarttags" w:element="place">
        <w:smartTag w:uri="urn:schemas-microsoft-com:office:smarttags" w:element="State">
          <w:r w:rsidRPr="00DA0537">
            <w:rPr>
              <w:rFonts w:ascii="Arial" w:hAnsi="Arial" w:cs="Arial"/>
              <w:sz w:val="22"/>
              <w:szCs w:val="22"/>
            </w:rPr>
            <w:t>Queensland</w:t>
          </w:r>
        </w:smartTag>
      </w:smartTag>
      <w:r w:rsidRPr="00DA0537">
        <w:rPr>
          <w:rFonts w:ascii="Arial" w:hAnsi="Arial" w:cs="Arial"/>
          <w:sz w:val="22"/>
          <w:szCs w:val="22"/>
        </w:rPr>
        <w:t xml:space="preserve">’s motor vehicle registration legislation. </w:t>
      </w:r>
    </w:p>
    <w:p w:rsidR="00B70BAC" w:rsidRPr="00E01D98" w:rsidRDefault="00B70BAC" w:rsidP="00B70BAC">
      <w:pPr>
        <w:numPr>
          <w:ilvl w:val="0"/>
          <w:numId w:val="2"/>
        </w:numPr>
        <w:tabs>
          <w:tab w:val="clear" w:pos="720"/>
          <w:tab w:val="num" w:pos="360"/>
        </w:tabs>
        <w:spacing w:before="240"/>
        <w:ind w:left="360"/>
        <w:jc w:val="both"/>
        <w:rPr>
          <w:rFonts w:ascii="Arial" w:hAnsi="Arial" w:cs="Arial"/>
          <w:sz w:val="22"/>
          <w:szCs w:val="22"/>
        </w:rPr>
      </w:pPr>
      <w:r w:rsidRPr="00B70BAC">
        <w:rPr>
          <w:rFonts w:ascii="Arial" w:hAnsi="Arial" w:cs="Arial"/>
          <w:sz w:val="22"/>
          <w:szCs w:val="22"/>
        </w:rPr>
        <w:t>To</w:t>
      </w:r>
      <w:r w:rsidRPr="00E01D98">
        <w:rPr>
          <w:rFonts w:ascii="Arial" w:hAnsi="Arial" w:cs="Arial"/>
          <w:kern w:val="20"/>
          <w:sz w:val="22"/>
          <w:szCs w:val="22"/>
        </w:rPr>
        <w:t xml:space="preserve"> reflect the changing nature of infrastructure investment and to reinforce existing safeguards, a range of amendments to the </w:t>
      </w:r>
      <w:smartTag w:uri="urn:schemas-microsoft-com:office:smarttags" w:element="State">
        <w:smartTag w:uri="urn:schemas-microsoft-com:office:smarttags" w:element="place">
          <w:r>
            <w:rPr>
              <w:rFonts w:ascii="Arial" w:hAnsi="Arial" w:cs="Arial"/>
              <w:i/>
              <w:kern w:val="20"/>
              <w:sz w:val="22"/>
              <w:szCs w:val="22"/>
            </w:rPr>
            <w:t>Queensland</w:t>
          </w:r>
        </w:smartTag>
      </w:smartTag>
      <w:r>
        <w:rPr>
          <w:rFonts w:ascii="Arial" w:hAnsi="Arial" w:cs="Arial"/>
          <w:i/>
          <w:kern w:val="20"/>
          <w:sz w:val="22"/>
          <w:szCs w:val="22"/>
        </w:rPr>
        <w:t xml:space="preserve"> Competition Authority Act 1997 </w:t>
      </w:r>
      <w:r>
        <w:rPr>
          <w:rFonts w:ascii="Arial" w:hAnsi="Arial" w:cs="Arial"/>
          <w:kern w:val="20"/>
          <w:sz w:val="22"/>
          <w:szCs w:val="22"/>
        </w:rPr>
        <w:t>are included in the Bill.  The Bill also contains amendments to</w:t>
      </w:r>
      <w:r w:rsidRPr="00E01D98">
        <w:rPr>
          <w:rFonts w:ascii="Arial" w:hAnsi="Arial" w:cs="Arial"/>
          <w:sz w:val="22"/>
          <w:szCs w:val="22"/>
        </w:rPr>
        <w:t xml:space="preserve"> the </w:t>
      </w:r>
      <w:r w:rsidRPr="00E01D98">
        <w:rPr>
          <w:rFonts w:ascii="Arial" w:hAnsi="Arial" w:cs="Arial"/>
          <w:i/>
          <w:sz w:val="22"/>
          <w:szCs w:val="22"/>
        </w:rPr>
        <w:t xml:space="preserve">Transport Infrastructure Act 1994 </w:t>
      </w:r>
      <w:r w:rsidRPr="00E01D98">
        <w:rPr>
          <w:rFonts w:ascii="Arial" w:hAnsi="Arial" w:cs="Arial"/>
          <w:sz w:val="22"/>
          <w:szCs w:val="22"/>
        </w:rPr>
        <w:t xml:space="preserve">(TIA) to provide legislative protections specific to QR National Limited’s (QR National’s) corporate governance framework so that QR Network’s Board does not unfairly discriminate between access seekers as a result of their directors’ duties toward QR National.  </w:t>
      </w:r>
      <w:r>
        <w:rPr>
          <w:rFonts w:ascii="Arial" w:hAnsi="Arial" w:cs="Arial"/>
          <w:sz w:val="22"/>
          <w:szCs w:val="22"/>
        </w:rPr>
        <w:t xml:space="preserve">Amendments </w:t>
      </w:r>
      <w:r w:rsidR="00A81603">
        <w:rPr>
          <w:rFonts w:ascii="Arial" w:hAnsi="Arial" w:cs="Arial"/>
          <w:sz w:val="22"/>
          <w:szCs w:val="22"/>
        </w:rPr>
        <w:t xml:space="preserve">are also made </w:t>
      </w:r>
      <w:r>
        <w:rPr>
          <w:rFonts w:ascii="Arial" w:hAnsi="Arial" w:cs="Arial"/>
          <w:sz w:val="22"/>
          <w:szCs w:val="22"/>
        </w:rPr>
        <w:t>to the</w:t>
      </w:r>
      <w:r w:rsidRPr="00E01D98">
        <w:rPr>
          <w:rFonts w:ascii="Arial" w:hAnsi="Arial" w:cs="Arial"/>
          <w:sz w:val="22"/>
          <w:szCs w:val="22"/>
        </w:rPr>
        <w:t xml:space="preserve"> TIA to strengthen the provisions which accord priority to passenger trains in both the allocation of capacity on the network and in day to day train control operations and to preserve existing freight paths</w:t>
      </w:r>
      <w:r>
        <w:rPr>
          <w:rFonts w:ascii="Arial" w:hAnsi="Arial" w:cs="Arial"/>
          <w:sz w:val="22"/>
          <w:szCs w:val="22"/>
        </w:rPr>
        <w:t xml:space="preserve"> are also included</w:t>
      </w:r>
      <w:r w:rsidRPr="00E01D98">
        <w:rPr>
          <w:rFonts w:ascii="Arial" w:hAnsi="Arial" w:cs="Arial"/>
          <w:sz w:val="22"/>
          <w:szCs w:val="22"/>
        </w:rPr>
        <w:t>.</w:t>
      </w:r>
    </w:p>
    <w:p w:rsidR="00D1775E" w:rsidRPr="00C053C7" w:rsidRDefault="00D1775E" w:rsidP="00D1775E">
      <w:pPr>
        <w:numPr>
          <w:ilvl w:val="0"/>
          <w:numId w:val="2"/>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Pr="00C053C7">
        <w:rPr>
          <w:rFonts w:ascii="Arial" w:hAnsi="Arial" w:cs="Arial"/>
          <w:sz w:val="22"/>
          <w:szCs w:val="22"/>
        </w:rPr>
        <w:t xml:space="preserve"> </w:t>
      </w:r>
      <w:r w:rsidRPr="00D1775E">
        <w:rPr>
          <w:rFonts w:ascii="Arial" w:hAnsi="Arial" w:cs="Arial"/>
          <w:sz w:val="22"/>
          <w:szCs w:val="22"/>
        </w:rPr>
        <w:t xml:space="preserve">the introduction of the </w:t>
      </w:r>
      <w:r w:rsidRPr="00C053C7">
        <w:rPr>
          <w:rFonts w:ascii="Arial" w:hAnsi="Arial" w:cs="Arial"/>
          <w:sz w:val="22"/>
          <w:szCs w:val="22"/>
        </w:rPr>
        <w:t>Motor Accident Insurance and Other Legislation Amendment Bill 2010.</w:t>
      </w:r>
    </w:p>
    <w:p w:rsidR="00D1775E" w:rsidRPr="00C07656" w:rsidRDefault="00D1775E" w:rsidP="00C053C7">
      <w:pPr>
        <w:spacing w:before="120"/>
        <w:jc w:val="both"/>
        <w:rPr>
          <w:rFonts w:ascii="Arial" w:hAnsi="Arial" w:cs="Arial"/>
          <w:sz w:val="22"/>
          <w:szCs w:val="22"/>
        </w:rPr>
      </w:pPr>
    </w:p>
    <w:p w:rsidR="00D1775E" w:rsidRPr="00C07656" w:rsidRDefault="00D1775E" w:rsidP="00D1775E">
      <w:pPr>
        <w:keepNext/>
        <w:numPr>
          <w:ilvl w:val="0"/>
          <w:numId w:val="2"/>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D1775E" w:rsidRPr="00C053C7" w:rsidRDefault="007C0D68" w:rsidP="00D1775E">
      <w:pPr>
        <w:numPr>
          <w:ilvl w:val="0"/>
          <w:numId w:val="3"/>
        </w:numPr>
        <w:spacing w:before="120"/>
        <w:ind w:left="811"/>
        <w:jc w:val="both"/>
        <w:rPr>
          <w:rFonts w:ascii="Arial" w:hAnsi="Arial" w:cs="Arial"/>
          <w:sz w:val="22"/>
          <w:szCs w:val="22"/>
        </w:rPr>
      </w:pPr>
      <w:hyperlink r:id="rId7" w:history="1">
        <w:r w:rsidR="00D1775E" w:rsidRPr="00C053C7">
          <w:rPr>
            <w:rStyle w:val="Hyperlink"/>
            <w:rFonts w:ascii="Arial" w:hAnsi="Arial" w:cs="Arial"/>
            <w:sz w:val="22"/>
            <w:szCs w:val="22"/>
          </w:rPr>
          <w:t>Motor Accident and Other Legislation Amendment Bill 2010</w:t>
        </w:r>
      </w:hyperlink>
    </w:p>
    <w:p w:rsidR="00D1775E" w:rsidRPr="00D1775E" w:rsidRDefault="007C0D68" w:rsidP="00D1775E">
      <w:pPr>
        <w:numPr>
          <w:ilvl w:val="0"/>
          <w:numId w:val="3"/>
        </w:numPr>
        <w:tabs>
          <w:tab w:val="num" w:pos="280"/>
        </w:tabs>
        <w:spacing w:before="120"/>
        <w:ind w:left="811"/>
        <w:jc w:val="both"/>
        <w:rPr>
          <w:rFonts w:ascii="Arial" w:hAnsi="Arial" w:cs="Arial"/>
          <w:sz w:val="22"/>
          <w:szCs w:val="22"/>
        </w:rPr>
      </w:pPr>
      <w:hyperlink r:id="rId8" w:history="1">
        <w:r w:rsidR="00D1775E" w:rsidRPr="00C053C7">
          <w:rPr>
            <w:rStyle w:val="Hyperlink"/>
            <w:rFonts w:ascii="Arial" w:hAnsi="Arial" w:cs="Arial"/>
            <w:sz w:val="22"/>
            <w:szCs w:val="22"/>
          </w:rPr>
          <w:t>Explanatory Notes</w:t>
        </w:r>
      </w:hyperlink>
      <w:r w:rsidR="00D1775E" w:rsidRPr="00D1775E">
        <w:rPr>
          <w:rFonts w:ascii="Arial" w:hAnsi="Arial" w:cs="Arial"/>
          <w:sz w:val="22"/>
          <w:szCs w:val="22"/>
        </w:rPr>
        <w:t xml:space="preserve"> </w:t>
      </w:r>
    </w:p>
    <w:p w:rsidR="00A87B0C" w:rsidRDefault="00A87B0C" w:rsidP="00A87B0C">
      <w:pPr>
        <w:ind w:firstLine="567"/>
        <w:jc w:val="both"/>
        <w:rPr>
          <w:rFonts w:ascii="Arial" w:hAnsi="Arial" w:cs="Arial"/>
          <w:sz w:val="22"/>
          <w:szCs w:val="22"/>
        </w:rPr>
      </w:pPr>
    </w:p>
    <w:sectPr w:rsidR="00A87B0C" w:rsidSect="00A81603">
      <w:headerReference w:type="default" r:id="rId9"/>
      <w:pgSz w:w="11906" w:h="16838"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EC" w:rsidRDefault="00F622EC">
      <w:r>
        <w:separator/>
      </w:r>
    </w:p>
  </w:endnote>
  <w:endnote w:type="continuationSeparator" w:id="0">
    <w:p w:rsidR="00F622EC" w:rsidRDefault="00F6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EC" w:rsidRDefault="00F622EC">
      <w:r>
        <w:separator/>
      </w:r>
    </w:p>
  </w:footnote>
  <w:footnote w:type="continuationSeparator" w:id="0">
    <w:p w:rsidR="00F622EC" w:rsidRDefault="00F62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6D" w:rsidRPr="00D1775E" w:rsidRDefault="000F71AD" w:rsidP="00D1775E">
    <w:pPr>
      <w:pStyle w:val="Header"/>
      <w:ind w:firstLine="2880"/>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3066D" w:rsidRPr="000400F9">
      <w:rPr>
        <w:rFonts w:ascii="Arial" w:hAnsi="Arial" w:cs="Arial"/>
        <w:b/>
        <w:sz w:val="22"/>
        <w:szCs w:val="22"/>
        <w:u w:val="single"/>
      </w:rPr>
      <w:t xml:space="preserve">Cabinet – </w:t>
    </w:r>
    <w:r w:rsidR="00F3066D" w:rsidRPr="00D1775E">
      <w:rPr>
        <w:rFonts w:ascii="Arial" w:hAnsi="Arial" w:cs="Arial"/>
        <w:b/>
        <w:sz w:val="22"/>
        <w:szCs w:val="22"/>
        <w:u w:val="single"/>
      </w:rPr>
      <w:t>August 2010</w:t>
    </w:r>
    <w:r w:rsidR="00F3066D" w:rsidRPr="00D1775E">
      <w:rPr>
        <w:rFonts w:ascii="Arial" w:hAnsi="Arial" w:cs="Arial"/>
        <w:b/>
        <w:sz w:val="22"/>
        <w:szCs w:val="22"/>
      </w:rPr>
      <w:tab/>
    </w:r>
  </w:p>
  <w:p w:rsidR="00F3066D" w:rsidRPr="00C053C7" w:rsidRDefault="00F3066D" w:rsidP="00D1775E">
    <w:pPr>
      <w:pStyle w:val="Header"/>
      <w:spacing w:before="120"/>
      <w:rPr>
        <w:rFonts w:ascii="Arial" w:hAnsi="Arial" w:cs="Arial"/>
        <w:b/>
        <w:sz w:val="22"/>
        <w:szCs w:val="22"/>
        <w:u w:val="single"/>
      </w:rPr>
    </w:pPr>
    <w:r w:rsidRPr="00C053C7">
      <w:rPr>
        <w:rFonts w:ascii="Arial" w:hAnsi="Arial" w:cs="Arial"/>
        <w:b/>
        <w:sz w:val="22"/>
        <w:szCs w:val="22"/>
        <w:u w:val="single"/>
      </w:rPr>
      <w:t xml:space="preserve">Motor Accident Insurance </w:t>
    </w:r>
    <w:r w:rsidR="00A81603" w:rsidRPr="00C053C7">
      <w:rPr>
        <w:rFonts w:ascii="Arial" w:hAnsi="Arial" w:cs="Arial"/>
        <w:b/>
        <w:sz w:val="22"/>
        <w:szCs w:val="22"/>
        <w:u w:val="single"/>
      </w:rPr>
      <w:t xml:space="preserve">and </w:t>
    </w:r>
    <w:r w:rsidRPr="00C053C7">
      <w:rPr>
        <w:rFonts w:ascii="Arial" w:hAnsi="Arial" w:cs="Arial"/>
        <w:b/>
        <w:sz w:val="22"/>
        <w:szCs w:val="22"/>
        <w:u w:val="single"/>
      </w:rPr>
      <w:t>Other Legislation Amendment Bill 2010</w:t>
    </w:r>
  </w:p>
  <w:p w:rsidR="00F3066D" w:rsidRPr="00D1775E" w:rsidRDefault="00F3066D" w:rsidP="00D1775E">
    <w:pPr>
      <w:pStyle w:val="Header"/>
      <w:spacing w:before="120"/>
      <w:rPr>
        <w:rFonts w:ascii="Arial" w:hAnsi="Arial" w:cs="Arial"/>
        <w:b/>
        <w:sz w:val="22"/>
        <w:szCs w:val="22"/>
        <w:u w:val="single"/>
      </w:rPr>
    </w:pPr>
    <w:r w:rsidRPr="00D1775E">
      <w:rPr>
        <w:rFonts w:ascii="Arial" w:hAnsi="Arial" w:cs="Arial"/>
        <w:b/>
        <w:sz w:val="22"/>
        <w:szCs w:val="22"/>
        <w:u w:val="single"/>
      </w:rPr>
      <w:t>Treasurer and Minister for Employment and Economic Development</w:t>
    </w:r>
  </w:p>
  <w:p w:rsidR="00F3066D" w:rsidRPr="00F10DF9" w:rsidRDefault="00F3066D" w:rsidP="00D1775E">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2170"/>
    <w:multiLevelType w:val="hybridMultilevel"/>
    <w:tmpl w:val="9ED6EA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7B7EC2"/>
    <w:multiLevelType w:val="singleLevel"/>
    <w:tmpl w:val="49780C1C"/>
    <w:lvl w:ilvl="0">
      <w:start w:val="1"/>
      <w:numFmt w:val="decimal"/>
      <w:pStyle w:val="QTNumPara"/>
      <w:lvlText w:val="%1"/>
      <w:lvlJc w:val="left"/>
      <w:pPr>
        <w:tabs>
          <w:tab w:val="num" w:pos="680"/>
        </w:tabs>
        <w:ind w:left="680" w:hanging="680"/>
      </w:pPr>
    </w:lvl>
  </w:abstractNum>
  <w:abstractNum w:abstractNumId="2" w15:restartNumberingAfterBreak="0">
    <w:nsid w:val="671B319E"/>
    <w:multiLevelType w:val="singleLevel"/>
    <w:tmpl w:val="186085D6"/>
    <w:lvl w:ilvl="0">
      <w:start w:val="1"/>
      <w:numFmt w:val="decimal"/>
      <w:lvlText w:val="%1. "/>
      <w:lvlJc w:val="left"/>
      <w:pPr>
        <w:tabs>
          <w:tab w:val="num" w:pos="562"/>
        </w:tabs>
        <w:ind w:left="562" w:hanging="562"/>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5E"/>
    <w:rsid w:val="00095DBF"/>
    <w:rsid w:val="000F71AD"/>
    <w:rsid w:val="00107C42"/>
    <w:rsid w:val="001E09BD"/>
    <w:rsid w:val="002B5B87"/>
    <w:rsid w:val="002C5B03"/>
    <w:rsid w:val="002E4C19"/>
    <w:rsid w:val="00405D97"/>
    <w:rsid w:val="00533557"/>
    <w:rsid w:val="00701880"/>
    <w:rsid w:val="0071784A"/>
    <w:rsid w:val="00791F22"/>
    <w:rsid w:val="007B43E3"/>
    <w:rsid w:val="007C0D68"/>
    <w:rsid w:val="00847D86"/>
    <w:rsid w:val="0086510C"/>
    <w:rsid w:val="009F4D7B"/>
    <w:rsid w:val="00A33FFF"/>
    <w:rsid w:val="00A626A2"/>
    <w:rsid w:val="00A81603"/>
    <w:rsid w:val="00A87B0C"/>
    <w:rsid w:val="00B360DC"/>
    <w:rsid w:val="00B70BAC"/>
    <w:rsid w:val="00C053C7"/>
    <w:rsid w:val="00D1775E"/>
    <w:rsid w:val="00D87836"/>
    <w:rsid w:val="00DA0537"/>
    <w:rsid w:val="00DB33C5"/>
    <w:rsid w:val="00DB71F8"/>
    <w:rsid w:val="00DE7A56"/>
    <w:rsid w:val="00DF14C1"/>
    <w:rsid w:val="00E77F3C"/>
    <w:rsid w:val="00EF32AE"/>
    <w:rsid w:val="00F07897"/>
    <w:rsid w:val="00F3066D"/>
    <w:rsid w:val="00F62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5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75E"/>
    <w:pPr>
      <w:spacing w:after="120"/>
    </w:pPr>
    <w:rPr>
      <w:szCs w:val="24"/>
    </w:rPr>
  </w:style>
  <w:style w:type="character" w:customStyle="1" w:styleId="BodyTextChar">
    <w:name w:val="Body Text Char"/>
    <w:basedOn w:val="DefaultParagraphFont"/>
    <w:link w:val="BodyText"/>
    <w:rsid w:val="00D1775E"/>
    <w:rPr>
      <w:sz w:val="24"/>
      <w:szCs w:val="24"/>
      <w:lang w:val="en-AU" w:eastAsia="en-AU" w:bidi="ar-SA"/>
    </w:rPr>
  </w:style>
  <w:style w:type="paragraph" w:styleId="Header">
    <w:name w:val="header"/>
    <w:basedOn w:val="Normal"/>
    <w:rsid w:val="00D1775E"/>
    <w:pPr>
      <w:tabs>
        <w:tab w:val="center" w:pos="4153"/>
        <w:tab w:val="right" w:pos="8306"/>
      </w:tabs>
    </w:pPr>
  </w:style>
  <w:style w:type="paragraph" w:styleId="Footer">
    <w:name w:val="footer"/>
    <w:basedOn w:val="Normal"/>
    <w:rsid w:val="00D1775E"/>
    <w:pPr>
      <w:tabs>
        <w:tab w:val="center" w:pos="4153"/>
        <w:tab w:val="right" w:pos="8306"/>
      </w:tabs>
    </w:pPr>
  </w:style>
  <w:style w:type="paragraph" w:customStyle="1" w:styleId="CharChar1Char">
    <w:name w:val="Char Char1 Char"/>
    <w:basedOn w:val="Normal"/>
    <w:rsid w:val="00D1775E"/>
    <w:pPr>
      <w:tabs>
        <w:tab w:val="left" w:pos="8278"/>
      </w:tabs>
      <w:spacing w:after="160" w:line="240" w:lineRule="exact"/>
    </w:pPr>
    <w:rPr>
      <w:rFonts w:ascii="Verdana" w:hAnsi="Verdana"/>
      <w:szCs w:val="24"/>
      <w:lang w:val="en-US" w:eastAsia="en-US"/>
    </w:rPr>
  </w:style>
  <w:style w:type="paragraph" w:customStyle="1" w:styleId="QTNumPara">
    <w:name w:val="QTNumPara"/>
    <w:basedOn w:val="Normal"/>
    <w:rsid w:val="0071784A"/>
    <w:pPr>
      <w:numPr>
        <w:numId w:val="5"/>
      </w:numPr>
      <w:spacing w:after="240"/>
    </w:pPr>
  </w:style>
  <w:style w:type="paragraph" w:styleId="BalloonText">
    <w:name w:val="Balloon Text"/>
    <w:basedOn w:val="Normal"/>
    <w:semiHidden/>
    <w:rsid w:val="00A87B0C"/>
    <w:rPr>
      <w:rFonts w:ascii="Tahoma" w:hAnsi="Tahoma" w:cs="Tahoma"/>
      <w:sz w:val="16"/>
      <w:szCs w:val="16"/>
    </w:rPr>
  </w:style>
  <w:style w:type="character" w:styleId="Hyperlink">
    <w:name w:val="Hyperlink"/>
    <w:basedOn w:val="DefaultParagraphFont"/>
    <w:rsid w:val="00C05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p%5b1%5d.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2285</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2702</CharactersWithSpaces>
  <SharedDoc>false</SharedDoc>
  <HyperlinkBase>https://www.cabinet.qld.gov.au/documents/2010/Aug/Motor Accident Insurance Leg Amnd Bill 10/</HyperlinkBase>
  <HLinks>
    <vt:vector size="12" baseType="variant">
      <vt:variant>
        <vt:i4>2818152</vt:i4>
      </vt:variant>
      <vt:variant>
        <vt:i4>3</vt:i4>
      </vt:variant>
      <vt:variant>
        <vt:i4>0</vt:i4>
      </vt:variant>
      <vt:variant>
        <vt:i4>5</vt:i4>
      </vt:variant>
      <vt:variant>
        <vt:lpwstr>Attachments/Exp%5b1%5d.pdf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railway,transport,legislation</cp:keywords>
  <cp:lastModifiedBy/>
  <cp:revision>2</cp:revision>
  <cp:lastPrinted>2010-10-05T05:43:00Z</cp:lastPrinted>
  <dcterms:created xsi:type="dcterms:W3CDTF">2017-10-24T22:18:00Z</dcterms:created>
  <dcterms:modified xsi:type="dcterms:W3CDTF">2018-03-06T01:01:00Z</dcterms:modified>
  <cp:category>Transport,Legislation</cp:category>
</cp:coreProperties>
</file>